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7902" w14:textId="5B38C464" w:rsidR="006068FF" w:rsidRPr="006037EC" w:rsidRDefault="00476874" w:rsidP="00984CA4">
      <w:pPr>
        <w:pStyle w:val="Ttulo"/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 xml:space="preserve">RESPOSTA AO RECURSO ADMINISTRATIVO DA </w:t>
      </w:r>
      <w:r w:rsidR="00984CA4" w:rsidRPr="006037EC">
        <w:rPr>
          <w:rFonts w:ascii="Arial" w:hAnsi="Arial" w:cs="Arial"/>
          <w:sz w:val="20"/>
          <w:szCs w:val="20"/>
          <w:lang w:val="pt-BR"/>
        </w:rPr>
        <w:t xml:space="preserve">VEROCHEQUE REFEIÇÕES LTDA (“VEROCARD”) - </w:t>
      </w:r>
      <w:r w:rsidR="00984CA4" w:rsidRPr="006037EC">
        <w:rPr>
          <w:rFonts w:ascii="Arial" w:hAnsi="Arial" w:cs="Arial"/>
          <w:spacing w:val="0"/>
          <w:kern w:val="0"/>
          <w:sz w:val="20"/>
          <w:szCs w:val="20"/>
          <w:lang w:val="pt-BR"/>
        </w:rPr>
        <w:t>EDITAL DE CHAMAMENTO PÚBLICO Nº 004/2026 – CREDENCIAMENTO VR/VA - PROCESSO SEI Nº 7010.2026/0005230-6</w:t>
      </w:r>
    </w:p>
    <w:p w14:paraId="6998A6DF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Objeto: Credenciamento de empresas para prestação de serviços de administração e gerenciamento de créditos de Vale-Refeição e Vale-Alimentação, destinados aos empregados e estagiários da PRODAM-SP, estes últimos exclusivamente quanto ao Vale-Refeição.</w:t>
      </w:r>
    </w:p>
    <w:p w14:paraId="2046BA1E" w14:textId="6A7E175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 xml:space="preserve">A Comissão de Contratação, no exercício da competência prevista no Edital, apresenta a apreciação do recurso administrativo interposto pela </w:t>
      </w:r>
      <w:r w:rsidRPr="006037EC">
        <w:rPr>
          <w:rFonts w:ascii="Arial" w:hAnsi="Arial" w:cs="Arial"/>
          <w:b/>
          <w:bCs/>
          <w:sz w:val="20"/>
          <w:szCs w:val="20"/>
          <w:lang w:val="pt-BR"/>
        </w:rPr>
        <w:t>VEROCHEQUE REFEIÇÕES LTDA., identificada pela marca VEROCARD</w:t>
      </w:r>
      <w:r w:rsidRPr="006037EC">
        <w:rPr>
          <w:rFonts w:ascii="Arial" w:hAnsi="Arial" w:cs="Arial"/>
          <w:sz w:val="20"/>
          <w:szCs w:val="20"/>
          <w:lang w:val="pt-BR"/>
        </w:rPr>
        <w:t>, contra sua reprovação na Prova de Conceito realizada em 13/10/2026. Pelos fundamentos abaixo, a Comissão mantém o resultado de reprovação, sem reconsideração favorável à habilitação</w:t>
      </w:r>
      <w:r w:rsidR="00984CA4" w:rsidRPr="006037EC">
        <w:rPr>
          <w:rFonts w:ascii="Arial" w:hAnsi="Arial" w:cs="Arial"/>
          <w:sz w:val="20"/>
          <w:szCs w:val="20"/>
          <w:lang w:val="pt-BR"/>
        </w:rPr>
        <w:t>.</w:t>
      </w:r>
    </w:p>
    <w:p w14:paraId="545EC319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 recorrente requer a alteração do resultado do item 11 da matriz para “Atendido”, sua aprovação na POC e inclusão na lista de credenciadas. Alega erro de enquadramento, pois o chatbot é exigido para os gestores, e não para os beneficiários; afirma possuir atendimento humano em sua central 0800; sustenta equivalência ou superioridade do chat humano e das demais ferramentas oferecidas; e questiona a motivação e a proporcionalidade da exclusão. Subsidiariamente, pede nova avaliação ou diligência. Solicita, ainda, efeito suspensivo, acesso aos registros e eventual complementação das razões, bem como encaminhamento à autoridade superior se não houver reconsideração.</w:t>
      </w:r>
    </w:p>
    <w:p w14:paraId="67E8B622" w14:textId="77777777" w:rsidR="00984CA4" w:rsidRPr="006037EC" w:rsidRDefault="00984CA4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26F8ABF" w14:textId="2CF25662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É a síntese do necessário.</w:t>
      </w:r>
    </w:p>
    <w:p w14:paraId="4B0F7D26" w14:textId="77777777" w:rsidR="00984CA4" w:rsidRPr="006037EC" w:rsidRDefault="00984CA4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1C2A941C" w14:textId="2C410667" w:rsidR="006068FF" w:rsidRPr="006037EC" w:rsidRDefault="00476874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1</w:t>
      </w:r>
      <w:r w:rsidR="00984CA4" w:rsidRPr="006037EC">
        <w:rPr>
          <w:rFonts w:ascii="Arial" w:hAnsi="Arial" w:cs="Arial"/>
          <w:sz w:val="20"/>
          <w:szCs w:val="20"/>
          <w:lang w:val="pt-BR"/>
        </w:rPr>
        <w:t>.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DA ADMISSIBILIDADE</w:t>
      </w:r>
    </w:p>
    <w:p w14:paraId="2880BE08" w14:textId="02525E25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O recurso foi encaminhado por e-mail em 20/10/2026, último dia da fase recursal prevista no Anexo I.1 do Edital, fixada entre 16 e 20/10/2026. A peça reúne a manifestação de intenção de recorrer e as razões recursais, permitindo o conhecimento da insurgência. Assim, conhece-se do recurso, com o efeito suspensivo previsto no item 9.2 do Edital, passando-se ao juízo de reconsideração.</w:t>
      </w:r>
    </w:p>
    <w:p w14:paraId="60382AE0" w14:textId="77777777" w:rsidR="00984CA4" w:rsidRPr="006037EC" w:rsidRDefault="00984CA4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6E06F3CC" w14:textId="60BD7B83" w:rsidR="006068FF" w:rsidRPr="006037EC" w:rsidRDefault="00476874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2</w:t>
      </w:r>
      <w:r w:rsidR="00984CA4" w:rsidRPr="006037EC">
        <w:rPr>
          <w:rFonts w:ascii="Arial" w:hAnsi="Arial" w:cs="Arial"/>
          <w:sz w:val="20"/>
          <w:szCs w:val="20"/>
          <w:lang w:val="pt-BR"/>
        </w:rPr>
        <w:t>.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DA EXIGÊNCIA DE CHATBOT E DA SOLUÇÃO APRESENTADA</w:t>
      </w:r>
    </w:p>
    <w:p w14:paraId="1BC3D079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b/>
          <w:sz w:val="20"/>
          <w:szCs w:val="20"/>
          <w:lang w:val="pt-BR"/>
        </w:rPr>
        <w:t>Síntese do pedido: A recorrente sustenta que seu atendimento humano por telefone e chat, somado ao sistema web de gerenciamento, alcança a finalidade do atendimento e oferece solução equivalente ou superior ao chatbot.</w:t>
      </w:r>
    </w:p>
    <w:p w14:paraId="42217312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Resposta: O argumento não justifica a aprovação da solução apresentada.</w:t>
      </w:r>
    </w:p>
    <w:p w14:paraId="18484D76" w14:textId="5EAE1B05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O item 10.2 do Termo de Referência exige central de atendimento personalizada, com atendimento pessoal por ligação gratuita 0800, e via Chatbot para obter informações e realizar solicitações de forma automatizada, em dias úteis, no mínimo das 9h às 18h, destinada aos gestores do contrato. O dispositivo prevê canais complementares e identifica expressamente a funcionalidade de atendimento automatizado.</w:t>
      </w:r>
    </w:p>
    <w:p w14:paraId="28D06C21" w14:textId="44238C21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 ata registra que a empresa oferece atendimento humanizado via chat, mas não disponibiliza chatbot. No tópico III.4 de seu recurso, a recorrente defende a substituição funcional do canal automatizado pelo atendimento humano por chat, pela central telefônica e pelo sistema web. Essa argumentação não demonstra a disponibilização do chatbot exigido, mas sustenta que outros meios deveria</w:t>
      </w:r>
      <w:r w:rsidR="00BE56D1" w:rsidRPr="006037EC">
        <w:rPr>
          <w:rFonts w:ascii="Arial" w:hAnsi="Arial" w:cs="Arial"/>
          <w:sz w:val="20"/>
          <w:szCs w:val="20"/>
          <w:lang w:val="pt-BR"/>
        </w:rPr>
        <w:t>m ser aceitos em seu lugar, conforme trecho do recurso colacionado abaixo</w:t>
      </w:r>
      <w:r w:rsidR="00184D85" w:rsidRPr="006037EC">
        <w:rPr>
          <w:rFonts w:ascii="Arial" w:hAnsi="Arial" w:cs="Arial"/>
          <w:sz w:val="20"/>
          <w:szCs w:val="20"/>
          <w:lang w:val="pt-BR"/>
        </w:rPr>
        <w:t>:</w:t>
      </w:r>
      <w:r w:rsidR="00BE56D1" w:rsidRPr="006037EC">
        <w:rPr>
          <w:rFonts w:ascii="Arial" w:hAnsi="Arial" w:cs="Arial"/>
          <w:sz w:val="20"/>
          <w:szCs w:val="20"/>
          <w:lang w:val="pt-BR"/>
        </w:rPr>
        <w:t xml:space="preserve"> </w:t>
      </w:r>
    </w:p>
    <w:p w14:paraId="5A59C1A0" w14:textId="77777777" w:rsidR="00BE56D1" w:rsidRPr="006037EC" w:rsidRDefault="00BE56D1" w:rsidP="00BE56D1">
      <w:pPr>
        <w:jc w:val="both"/>
        <w:rPr>
          <w:i/>
          <w:lang w:val="pt-BR"/>
        </w:rPr>
      </w:pPr>
      <w:r w:rsidRPr="006037EC">
        <w:rPr>
          <w:i/>
          <w:lang w:val="pt-BR"/>
        </w:rPr>
        <w:t xml:space="preserve">“A solução da recorrente alcança esse fim por meios equivalentes ou superiores. Os gestores e beneficiários dispõem de: (i) central 0800 com atendimento humano 24 horas, acessível de qualquer telefone celular; (ii) chat com atendimento humano pela plataforma Neppo, reconhecido na própria Ata; e (iii) sistema web de </w:t>
      </w:r>
      <w:r w:rsidRPr="006037EC">
        <w:rPr>
          <w:i/>
          <w:lang w:val="pt-BR"/>
        </w:rPr>
        <w:lastRenderedPageBreak/>
        <w:t>gerenciamento do benefício, julgado "Atendido" no item 12, com lançamento e reversão de créditos, emissão de relatórios e demais rotinas de autogestão.</w:t>
      </w:r>
    </w:p>
    <w:p w14:paraId="7FF11718" w14:textId="24653973" w:rsidR="00BE56D1" w:rsidRPr="006037EC" w:rsidRDefault="00BE56D1" w:rsidP="00BE56D1">
      <w:pPr>
        <w:jc w:val="both"/>
        <w:rPr>
          <w:rFonts w:ascii="Arial" w:hAnsi="Arial" w:cs="Arial"/>
          <w:i/>
          <w:sz w:val="20"/>
          <w:szCs w:val="20"/>
          <w:lang w:val="pt-BR"/>
        </w:rPr>
      </w:pPr>
      <w:r w:rsidRPr="006037EC">
        <w:rPr>
          <w:i/>
          <w:lang w:val="pt-BR"/>
        </w:rPr>
        <w:t xml:space="preserve"> Um chatbot é, por definição, um atendimento automatizado, que responde a perguntas predefinidas por meio de fluxos programados. O atendimento humano por chat oferece tudo o que um chatbot oferece e algo a mais: a capacidade de compreender demandas não padronizadas e de solucioná-las de forma personalizada. Exigir o canal automatizado de quem já oferece o canal humano é privilegiar o meio em detrimento do fim.”</w:t>
      </w:r>
    </w:p>
    <w:p w14:paraId="43569F2A" w14:textId="77777777" w:rsidR="00BE56D1" w:rsidRPr="006037EC" w:rsidRDefault="00BE56D1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5ED0F3AC" w14:textId="12D2B04C" w:rsidR="006068FF" w:rsidRPr="006037EC" w:rsidRDefault="00BE56D1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Desta forma, o a</w:t>
      </w:r>
      <w:r w:rsidR="00476874" w:rsidRPr="006037EC">
        <w:rPr>
          <w:rFonts w:ascii="Arial" w:hAnsi="Arial" w:cs="Arial"/>
          <w:sz w:val="20"/>
          <w:szCs w:val="20"/>
          <w:lang w:val="pt-BR"/>
        </w:rPr>
        <w:t>tendimento humano por chat e chatbot não se confundem para fins desta exigência: o primeiro depende da atuação de atendente, enquanto o segundo viabiliza a obtenção de informações e o registro de solicitações por interação automatizada no canal especificado. A existência de atendimento humano não comprova, por si só, a disponibilidade da funcionalidade automatizada. Da mesma forma, a automatização da central telefônica por URA e as funções de autogestão no portal web não demonstram esse recurso.</w:t>
      </w:r>
    </w:p>
    <w:p w14:paraId="1120E47B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 alegação de superioridade das ferramentas oferecidas não autoriza dispensar característica expressamente exigida. O item 10.2 não apresenta o chatbot como alternativa facultativa ao atendimento pessoal nem prevê que qualquer canal digital possa substituí-lo. A admissão de equivalência exigiria comprovação de atendimento às características funcionais previstas, o que não decorre da simples existência de chat humano e de portal web.</w:t>
      </w:r>
    </w:p>
    <w:p w14:paraId="35E9F1BD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Nos termos do item 5.5.2.1 do Edital, a habilitação depende da comprovação das especificações e funcionalidades dos itens 10 a 14 do TR. A matriz deve ser lida em conjunto com essas disposições: sua descrição sintética de canal acessível e apto ao registro de solicitações não elimina a especificação expressa do item 10.2. Também não há conflito com disposição do corpo do Edital que permita afastar essa exigência pela regra de prevalência do item 14.2.</w:t>
      </w:r>
    </w:p>
    <w:p w14:paraId="3CF98E96" w14:textId="77777777" w:rsidR="00984CA4" w:rsidRPr="006037EC" w:rsidRDefault="00984CA4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6AEBBC32" w14:textId="4CDFE0F7" w:rsidR="006068FF" w:rsidRPr="006037EC" w:rsidRDefault="00476874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3</w:t>
      </w:r>
      <w:r w:rsidR="00984CA4" w:rsidRPr="006037EC">
        <w:rPr>
          <w:rFonts w:ascii="Arial" w:hAnsi="Arial" w:cs="Arial"/>
          <w:sz w:val="20"/>
          <w:szCs w:val="20"/>
          <w:lang w:val="pt-BR"/>
        </w:rPr>
        <w:t>.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DO ENQUADRAMENTO NA MATRIZ E DA CENTRAL TELEFÔNICA</w:t>
      </w:r>
    </w:p>
    <w:p w14:paraId="709FB083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b/>
          <w:sz w:val="20"/>
          <w:szCs w:val="20"/>
          <w:lang w:val="pt-BR"/>
        </w:rPr>
        <w:t>Síntese do pedido: A recorrente aponta que o chatbot foi indevidamente relacionado ao item 11, destinado ao beneficiário, enquanto o item 12, destinado aos gestores, foi aprovado. Afirma, ainda, que sua central 0800 possui atendimento humano 24 horas.</w:t>
      </w:r>
    </w:p>
    <w:p w14:paraId="39439697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Resposta: A distinção entre os destinatários dos canais deve ser observada, sem que isso implique dispensa do chatbot ou aprovação automática da empresa.</w:t>
      </w:r>
    </w:p>
    <w:p w14:paraId="70F4E237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 Comissão esclarece que o item 10.1 do TR disciplina o atendimento aos usuários, enquanto o item 10.2 se refere aos gestores. A ausência de chatbot deve, portanto, ser examinada no âmbito do canal dos gestores, correspondente ao item 12 da matriz. Não se sustenta, nesta manifestação, que o item 10.1 imponha chatbot aos beneficiários ou atendimento humano telefônico ininterrupto.</w:t>
      </w:r>
    </w:p>
    <w:p w14:paraId="7D973D21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 referência à ausência de chatbot no item 11 e a marcação “Atendido” no item 12 apresentam inconsistência de enquadramento que deve ser explicitada e corrigida no registro técnico da avaliação. As funcionalidades de lançamento e reversão de créditos mencionadas na justificativa do item 12 não demonstram, por si sós, o cumprimento integral dos canais exigidos no item 10.2.</w:t>
      </w:r>
    </w:p>
    <w:p w14:paraId="2E112395" w14:textId="79F175D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O pedido de aprovação da POC exige apreciação conjunta dos requisitos obrigatórios. O reconhecimento da inadequação da referência ao item 11 não transforma em atendida a funcionalidade ausente. O fato técnico registrado na ata</w:t>
      </w:r>
      <w:r w:rsidR="00BE56D1" w:rsidRPr="006037EC">
        <w:rPr>
          <w:rFonts w:ascii="Arial" w:hAnsi="Arial" w:cs="Arial"/>
          <w:sz w:val="20"/>
          <w:szCs w:val="20"/>
          <w:lang w:val="pt-BR"/>
        </w:rPr>
        <w:t>,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a indisponibilidade de chatbot</w:t>
      </w:r>
      <w:r w:rsidR="00BE56D1" w:rsidRPr="006037EC">
        <w:rPr>
          <w:rFonts w:ascii="Arial" w:hAnsi="Arial" w:cs="Arial"/>
          <w:sz w:val="20"/>
          <w:szCs w:val="20"/>
          <w:lang w:val="pt-BR"/>
        </w:rPr>
        <w:t>,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permanece relevante para a aferição do item 10.2 e foi expressamente debatido no recurso, inclusive mediante a tese de equivalência do chat humano. A presente manifestação mantém o resultado global com esse enquadramento, sem atribuir ao canal dos beneficiários obrigação reservada aos gestores.</w:t>
      </w:r>
    </w:p>
    <w:p w14:paraId="628EEA10" w14:textId="7E1B02CE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lastRenderedPageBreak/>
        <w:t>Quanto à existência de atendimento humano na central 0800, a alegação da recorrente não é tratada como fato afastado nesta resposta. Ainda que confirmada, ela não supriria a ausência do chatbot. Por esse motivo, a manutenção da reprovação não se apoia na afirmação de que o telefone 0800 seria exclusivamente automatizado. A avaliação do canal dos beneficiários e eventuais retificações do seu registro devem observar estritamente o item 10.1 e as evidências da sessão.</w:t>
      </w:r>
    </w:p>
    <w:p w14:paraId="1FB646F9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 adequação do enquadramento deverá constar de registro técnico complementar, identificando a insuficiência do canal dos gestores em relação ao item 10.2, os reflexos sobre os itens 11 e 12 da matriz e os resultados efetivamente comprovados. Até essa consolidação, não se reproduz como definitivo o quantitativo original de requisitos atendidos. Preservam-se as avaliações dos demais itens que não sejam afetadas pelo esclarecimento.</w:t>
      </w:r>
    </w:p>
    <w:p w14:paraId="7D1D273C" w14:textId="77777777" w:rsidR="00984CA4" w:rsidRPr="006037EC" w:rsidRDefault="00984CA4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2ECD8C29" w14:textId="7995A663" w:rsidR="006068FF" w:rsidRPr="006037EC" w:rsidRDefault="00476874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4</w:t>
      </w:r>
      <w:r w:rsidR="00984CA4" w:rsidRPr="006037EC">
        <w:rPr>
          <w:rFonts w:ascii="Arial" w:hAnsi="Arial" w:cs="Arial"/>
          <w:sz w:val="20"/>
          <w:szCs w:val="20"/>
          <w:lang w:val="pt-BR"/>
        </w:rPr>
        <w:t>.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DA MOTIVAÇÃO DA PROPORCIONALIDADE E DA ISONOMIA</w:t>
      </w:r>
    </w:p>
    <w:p w14:paraId="1E86C23C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b/>
          <w:sz w:val="20"/>
          <w:szCs w:val="20"/>
          <w:lang w:val="pt-BR"/>
        </w:rPr>
        <w:t>Síntese do pedido: A recorrente sustenta que a reprovação carece de motivação congruente, desconsidera o atendimento de 14 requisitos e restringe indevidamente as opções dos beneficiários.</w:t>
      </w:r>
    </w:p>
    <w:p w14:paraId="32D63A42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Resposta: O atendimento parcial dos requisitos não autoriza a aprovação da POC.</w:t>
      </w:r>
    </w:p>
    <w:p w14:paraId="5F85D43C" w14:textId="4147D08E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O item 14.8 do TR exige o resultado “Atendido” em todos os requisitos obrigatórios. A controvérsia é material: a solução apresentada não disponibiliza funcionalidade de atendimento automatizado expressamente exigida no item 10.2. Não se trata de incorreção de documento ou de simples nomenclatura de canal que realize a mesma operação.</w:t>
      </w:r>
    </w:p>
    <w:p w14:paraId="2C2BEEF8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O interesse na ampliação das opções dos empregados, a taxa de administração fixada em zero e as demais funcionalidades demonstradas não afastam essa condição técnica. A aprovação de solução sem o requisito permitiria substituir, na avaliação individual de uma participante, uma condição previamente divulgada e aplicável às demais interessadas. A interpretação favorável à participação prevista no item 14.1 do Edital deve preservar a igualdade de oportunidades e a finalidade da contratação.</w:t>
      </w:r>
    </w:p>
    <w:p w14:paraId="2C7B6C86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 manutenção do resultado se fundamenta, assim, em exigência identificada, na ausência registrada na ata e na insuficiência da equivalência defendida no recurso. Essa conclusão observa a vinculação ao instrumento convocatório, a igualdade e o julgamento objetivo previstos no art. 31 da Lei Federal nº 13.303/2016, sem presumir a regularidade ou irregularidade das avaliações de outras participantes.</w:t>
      </w:r>
    </w:p>
    <w:p w14:paraId="15FF0EA6" w14:textId="4902042F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Quanto às consequências práticas, a decisão impede a inclusão da recorrente na lista de empresas aprovadas nesta avaliação, mas não importa aplicação de sanção nem impedimento genérico de participação futura. O ingresso posterior permanece sujeito às condições e às janelas de avaliação previstas no Edital. A alternativa de aprovação imediata não é adequada, pois deixaria sem comprovação o requisito obrigatório.</w:t>
      </w:r>
    </w:p>
    <w:p w14:paraId="11C5A73B" w14:textId="77777777" w:rsidR="00984CA4" w:rsidRPr="006037EC" w:rsidRDefault="00984CA4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74E1B218" w14:textId="66AD409F" w:rsidR="006068FF" w:rsidRPr="006037EC" w:rsidRDefault="00476874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5</w:t>
      </w:r>
      <w:r w:rsidR="00984CA4" w:rsidRPr="006037EC">
        <w:rPr>
          <w:rFonts w:ascii="Arial" w:hAnsi="Arial" w:cs="Arial"/>
          <w:sz w:val="20"/>
          <w:szCs w:val="20"/>
          <w:lang w:val="pt-BR"/>
        </w:rPr>
        <w:t>.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DAS DILIGÊNCIAS DO ACESSO AOS REGISTROS E DO EFEITO SUSPENSIVO</w:t>
      </w:r>
    </w:p>
    <w:p w14:paraId="117A40FA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b/>
          <w:sz w:val="20"/>
          <w:szCs w:val="20"/>
          <w:lang w:val="pt-BR"/>
        </w:rPr>
        <w:t>Síntese do pedido: Subsidiariamente, a recorrente requer verificação de seus canais, exame da gravação, nova demonstração, acesso aos registros e oportunidade de complementar as razões.</w:t>
      </w:r>
    </w:p>
    <w:p w14:paraId="1A1B6CD9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Resposta: As diligências sobre atendimento humano não afastam, por si sós, a deficiência relativa ao chatbot.</w:t>
      </w:r>
    </w:p>
    <w:p w14:paraId="292B72E3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Os itens 5.5.3, 5.5.4 e 14.5 do Edital permitem esclarecer fatos e sanar falhas que não alterem a substância da solução ou dos documentos. A diligência pode confirmar funcionalidade preexistente, mas não serve para dispensar o chatbot nem para admitir sua implantação posterior como se tivesse sido demonstrado na POC. O item 14.6 do TR veda alteração, complementação ou substituição da solução durante a prova, ressalvadas as correções pontuais ali previstas.</w:t>
      </w:r>
    </w:p>
    <w:p w14:paraId="02E32ED5" w14:textId="6F631E64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 xml:space="preserve">A ligação de teste ao 0800 e a confirmação do chat humano não comprovam a existência de chatbot. A nova demonstração desses mesmos canais não resolveria o descumprimento identificado. Por isso, não se acolhe </w:t>
      </w:r>
      <w:r w:rsidRPr="006037EC">
        <w:rPr>
          <w:rFonts w:ascii="Arial" w:hAnsi="Arial" w:cs="Arial"/>
          <w:sz w:val="20"/>
          <w:szCs w:val="20"/>
          <w:lang w:val="pt-BR"/>
        </w:rPr>
        <w:lastRenderedPageBreak/>
        <w:t>a repetição da POC como meio de obter aprovação por substituição do requisito. Permanece cabível o exame dos registros existentes para consolidar a avaliação e corrigir as inconsistências da ata, sem presumir que tal exame já tenha sido realizado nesta fase.</w:t>
      </w:r>
    </w:p>
    <w:p w14:paraId="6957454A" w14:textId="6496D7BA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Deverá ser assegurado acesso à gravação da sessão e às atas solicitadas, resguardadas informações legalmente protegidas.</w:t>
      </w:r>
    </w:p>
    <w:p w14:paraId="33CD0C2E" w14:textId="77777777" w:rsidR="00984CA4" w:rsidRPr="006037EC" w:rsidRDefault="00984CA4">
      <w:pPr>
        <w:pStyle w:val="Ttulo1"/>
        <w:rPr>
          <w:rFonts w:ascii="Arial" w:hAnsi="Arial" w:cs="Arial"/>
          <w:sz w:val="20"/>
          <w:szCs w:val="20"/>
          <w:lang w:val="pt-BR"/>
        </w:rPr>
      </w:pPr>
    </w:p>
    <w:p w14:paraId="540A272F" w14:textId="5C591E25" w:rsidR="006068FF" w:rsidRPr="006037EC" w:rsidRDefault="00476874">
      <w:pPr>
        <w:pStyle w:val="Ttulo1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6</w:t>
      </w:r>
      <w:r w:rsidR="00984CA4" w:rsidRPr="006037EC">
        <w:rPr>
          <w:rFonts w:ascii="Arial" w:hAnsi="Arial" w:cs="Arial"/>
          <w:sz w:val="20"/>
          <w:szCs w:val="20"/>
          <w:lang w:val="pt-BR"/>
        </w:rPr>
        <w:t>.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CONCLUSÃO</w:t>
      </w:r>
    </w:p>
    <w:p w14:paraId="248E2738" w14:textId="34BE87E9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b/>
          <w:sz w:val="20"/>
          <w:szCs w:val="20"/>
          <w:lang w:val="pt-BR"/>
        </w:rPr>
        <w:t>Pelo exposto, a Comissão de Contratação decide CONHECER do recurso administrativo apresentado pela VEROCHEQUE REFEIÇÕES LTDA. — VEROCARD e, em juízo de reconsideração, NÃO RECONSIDERAR o resultado de reprovação na Prova de Conceito, propondo o NÃO PROVIMENTO do pedido de aprovação e habilitação, pelos seguintes fundamentos e encaminhamentos:</w:t>
      </w:r>
    </w:p>
    <w:p w14:paraId="7C834D75" w14:textId="4DE53FAA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a) permanece não comprovado o atendimento do item 10.2 do TR quanto ao chatbot para informações e solicitações automatizadas destinado aos gestores, não suprido pelo atendimento humano por chat, pela central telefônica ou pelo portal web;</w:t>
      </w:r>
    </w:p>
    <w:p w14:paraId="543F7199" w14:textId="7777777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b) mantém-se a conclusão de não aprovação na POC e de não preenchimento da condição técnica necessária à habilitação, sujeita ao julgamento definitivo do recurso, com adequação do enquadramento da ausência de chatbot ao canal dos gestores e correção das inconsistências da ata, nos termos desta manifestação;</w:t>
      </w:r>
    </w:p>
    <w:p w14:paraId="20F5CA3C" w14:textId="5FF9CC87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c) preservam-se os resultados dos demais requisitos não afetados pela correção, devendo a matriz e o consolidado ser formalmente ajustados após a conclusão da instrução, com registro das evidências</w:t>
      </w:r>
      <w:r w:rsidR="007D4C56" w:rsidRPr="006037EC">
        <w:rPr>
          <w:rFonts w:ascii="Arial" w:hAnsi="Arial" w:cs="Arial"/>
          <w:sz w:val="20"/>
          <w:szCs w:val="20"/>
          <w:lang w:val="pt-BR"/>
        </w:rPr>
        <w:t>;</w:t>
      </w:r>
    </w:p>
    <w:p w14:paraId="105C167F" w14:textId="1531C343" w:rsidR="006068FF" w:rsidRPr="006037EC" w:rsidRDefault="00476874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d) determina-se o atendimento do pedido de acesso aos registros</w:t>
      </w:r>
      <w:r w:rsidR="007D4C56" w:rsidRPr="006037EC">
        <w:rPr>
          <w:rFonts w:ascii="Arial" w:hAnsi="Arial" w:cs="Arial"/>
          <w:sz w:val="20"/>
          <w:szCs w:val="20"/>
          <w:lang w:val="pt-BR"/>
        </w:rPr>
        <w:t>;</w:t>
      </w:r>
    </w:p>
    <w:p w14:paraId="4BE4B566" w14:textId="19B68E73" w:rsidR="007D4C56" w:rsidRPr="006037EC" w:rsidRDefault="007D4C56">
      <w:pPr>
        <w:jc w:val="both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>A manutenção da reprovação afasta a recorrente da relação de empresas aprovadas nesta etapa, sem caráter sancionatório ou vedação à participação futura, que poderá ocorrer observados os requisitos e os períodos de avaliação estabelecidos no Edital.</w:t>
      </w:r>
    </w:p>
    <w:p w14:paraId="5DCB5955" w14:textId="77777777" w:rsidR="00984CA4" w:rsidRPr="006037EC" w:rsidRDefault="00984CA4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4F8BC4B0" w14:textId="7560DD3E" w:rsidR="006068FF" w:rsidRPr="006037EC" w:rsidRDefault="00476874" w:rsidP="00984CA4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6037EC">
        <w:rPr>
          <w:rFonts w:ascii="Arial" w:hAnsi="Arial" w:cs="Arial"/>
          <w:sz w:val="20"/>
          <w:szCs w:val="20"/>
          <w:lang w:val="pt-BR"/>
        </w:rPr>
        <w:t xml:space="preserve">São Paulo, </w:t>
      </w:r>
      <w:r w:rsidR="006037EC">
        <w:rPr>
          <w:rFonts w:ascii="Arial" w:hAnsi="Arial" w:cs="Arial"/>
          <w:sz w:val="20"/>
          <w:szCs w:val="20"/>
          <w:lang w:val="pt-BR"/>
        </w:rPr>
        <w:t>26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de </w:t>
      </w:r>
      <w:r w:rsidR="006037EC">
        <w:rPr>
          <w:rFonts w:ascii="Arial" w:hAnsi="Arial" w:cs="Arial"/>
          <w:sz w:val="20"/>
          <w:szCs w:val="20"/>
          <w:lang w:val="pt-BR"/>
        </w:rPr>
        <w:t>outubro</w:t>
      </w:r>
      <w:r w:rsidRPr="006037EC">
        <w:rPr>
          <w:rFonts w:ascii="Arial" w:hAnsi="Arial" w:cs="Arial"/>
          <w:sz w:val="20"/>
          <w:szCs w:val="20"/>
          <w:lang w:val="pt-BR"/>
        </w:rPr>
        <w:t xml:space="preserve"> de 2026.</w:t>
      </w:r>
    </w:p>
    <w:p w14:paraId="35AEFC5C" w14:textId="77777777" w:rsidR="006037EC" w:rsidRDefault="006037EC">
      <w:pPr>
        <w:keepLines/>
        <w:spacing w:before="180"/>
        <w:jc w:val="center"/>
        <w:rPr>
          <w:rFonts w:ascii="Arial" w:hAnsi="Arial" w:cs="Arial"/>
          <w:sz w:val="20"/>
          <w:szCs w:val="20"/>
          <w:lang w:val="pt-BR"/>
        </w:rPr>
      </w:pPr>
    </w:p>
    <w:p w14:paraId="400561CA" w14:textId="54A0BE3D" w:rsidR="006068FF" w:rsidRPr="004B1936" w:rsidRDefault="00476874" w:rsidP="004B1936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4B1936">
        <w:rPr>
          <w:rFonts w:ascii="Arial" w:hAnsi="Arial" w:cs="Arial"/>
          <w:b/>
          <w:bCs/>
          <w:sz w:val="20"/>
          <w:szCs w:val="20"/>
          <w:lang w:val="pt-BR"/>
        </w:rPr>
        <w:t>JOSE FUMIHIRO NARASAKI</w:t>
      </w:r>
      <w:r w:rsidRPr="004B1936">
        <w:rPr>
          <w:rFonts w:ascii="Arial" w:hAnsi="Arial" w:cs="Arial"/>
          <w:b/>
          <w:bCs/>
          <w:sz w:val="20"/>
          <w:szCs w:val="20"/>
          <w:lang w:val="pt-BR"/>
        </w:rPr>
        <w:br/>
        <w:t>Presidente da Comissão</w:t>
      </w:r>
    </w:p>
    <w:p w14:paraId="298551A9" w14:textId="77777777" w:rsidR="006068FF" w:rsidRPr="004B1936" w:rsidRDefault="00476874" w:rsidP="004B1936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4B1936">
        <w:rPr>
          <w:rFonts w:ascii="Arial" w:hAnsi="Arial" w:cs="Arial"/>
          <w:b/>
          <w:bCs/>
          <w:sz w:val="20"/>
          <w:szCs w:val="20"/>
          <w:lang w:val="pt-BR"/>
        </w:rPr>
        <w:t>WESLEY MESQUITA DA SILVA</w:t>
      </w:r>
      <w:r w:rsidRPr="004B1936">
        <w:rPr>
          <w:rFonts w:ascii="Arial" w:hAnsi="Arial" w:cs="Arial"/>
          <w:b/>
          <w:bCs/>
          <w:sz w:val="20"/>
          <w:szCs w:val="20"/>
          <w:lang w:val="pt-BR"/>
        </w:rPr>
        <w:br/>
        <w:t>Membro da Comissão</w:t>
      </w:r>
    </w:p>
    <w:p w14:paraId="7A9A7A9C" w14:textId="77777777" w:rsidR="006068FF" w:rsidRPr="004B1936" w:rsidRDefault="00476874" w:rsidP="004B1936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4B1936">
        <w:rPr>
          <w:rFonts w:ascii="Arial" w:hAnsi="Arial" w:cs="Arial"/>
          <w:b/>
          <w:bCs/>
          <w:sz w:val="20"/>
          <w:szCs w:val="20"/>
          <w:lang w:val="pt-BR"/>
        </w:rPr>
        <w:t>WALTER FRANZOI</w:t>
      </w:r>
      <w:r w:rsidRPr="004B1936">
        <w:rPr>
          <w:rFonts w:ascii="Arial" w:hAnsi="Arial" w:cs="Arial"/>
          <w:b/>
          <w:bCs/>
          <w:sz w:val="20"/>
          <w:szCs w:val="20"/>
          <w:lang w:val="pt-BR"/>
        </w:rPr>
        <w:br/>
        <w:t>Membro da Comissão</w:t>
      </w:r>
    </w:p>
    <w:p w14:paraId="135EB80C" w14:textId="77777777" w:rsidR="006068FF" w:rsidRPr="004B1936" w:rsidRDefault="00476874" w:rsidP="004B1936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4B1936">
        <w:rPr>
          <w:rFonts w:ascii="Arial" w:hAnsi="Arial" w:cs="Arial"/>
          <w:b/>
          <w:bCs/>
          <w:sz w:val="20"/>
          <w:szCs w:val="20"/>
          <w:lang w:val="pt-BR"/>
        </w:rPr>
        <w:t>VALÉRIA ORMENI FRANCO</w:t>
      </w:r>
      <w:r w:rsidRPr="004B1936">
        <w:rPr>
          <w:rFonts w:ascii="Arial" w:hAnsi="Arial" w:cs="Arial"/>
          <w:b/>
          <w:bCs/>
          <w:sz w:val="20"/>
          <w:szCs w:val="20"/>
          <w:lang w:val="pt-BR"/>
        </w:rPr>
        <w:br/>
        <w:t>Membro da Comissão</w:t>
      </w:r>
    </w:p>
    <w:p w14:paraId="33C76420" w14:textId="77777777" w:rsidR="006068FF" w:rsidRPr="004B1936" w:rsidRDefault="00476874" w:rsidP="004B1936">
      <w:pPr>
        <w:keepLines/>
        <w:spacing w:before="180"/>
        <w:rPr>
          <w:rFonts w:ascii="Arial" w:hAnsi="Arial" w:cs="Arial"/>
          <w:b/>
          <w:bCs/>
          <w:sz w:val="20"/>
          <w:szCs w:val="20"/>
          <w:lang w:val="pt-BR"/>
        </w:rPr>
      </w:pPr>
      <w:r w:rsidRPr="004B1936">
        <w:rPr>
          <w:rFonts w:ascii="Arial" w:hAnsi="Arial" w:cs="Arial"/>
          <w:b/>
          <w:bCs/>
          <w:sz w:val="20"/>
          <w:szCs w:val="20"/>
          <w:lang w:val="pt-BR"/>
        </w:rPr>
        <w:t>CRISTINA DE ALMEIDA PRADO</w:t>
      </w:r>
      <w:r w:rsidRPr="004B1936">
        <w:rPr>
          <w:rFonts w:ascii="Arial" w:hAnsi="Arial" w:cs="Arial"/>
          <w:b/>
          <w:bCs/>
          <w:sz w:val="20"/>
          <w:szCs w:val="20"/>
          <w:lang w:val="pt-BR"/>
        </w:rPr>
        <w:br/>
        <w:t>Membro da Comissão</w:t>
      </w:r>
    </w:p>
    <w:sectPr w:rsidR="006068FF" w:rsidRPr="004B1936" w:rsidSect="00984CA4">
      <w:headerReference w:type="default" r:id="rId8"/>
      <w:footerReference w:type="default" r:id="rId9"/>
      <w:pgSz w:w="12240" w:h="15840"/>
      <w:pgMar w:top="1560" w:right="1296" w:bottom="170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D0FA4" w14:textId="77777777" w:rsidR="00864CFC" w:rsidRDefault="00864CFC">
      <w:pPr>
        <w:spacing w:after="0" w:line="240" w:lineRule="auto"/>
      </w:pPr>
      <w:r>
        <w:separator/>
      </w:r>
    </w:p>
  </w:endnote>
  <w:endnote w:type="continuationSeparator" w:id="0">
    <w:p w14:paraId="65B74B18" w14:textId="77777777" w:rsidR="00864CFC" w:rsidRDefault="0086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789F" w14:textId="02AFA894" w:rsidR="006068FF" w:rsidRDefault="00984CA4">
    <w:pPr>
      <w:pStyle w:val="Rodap"/>
      <w:jc w:val="right"/>
    </w:pPr>
    <w:r w:rsidRPr="00E22757"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6136FBE4" wp14:editId="1D9AB9ED">
          <wp:simplePos x="0" y="0"/>
          <wp:positionH relativeFrom="page">
            <wp:posOffset>-2540</wp:posOffset>
          </wp:positionH>
          <wp:positionV relativeFrom="paragraph">
            <wp:posOffset>-292100</wp:posOffset>
          </wp:positionV>
          <wp:extent cx="7766050" cy="914400"/>
          <wp:effectExtent l="0" t="0" r="6350" b="0"/>
          <wp:wrapNone/>
          <wp:docPr id="32903495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>PAGE</w:instrText>
    </w:r>
    <w:r>
      <w:fldChar w:fldCharType="separate"/>
    </w:r>
    <w:r w:rsidR="00184D8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58035" w14:textId="77777777" w:rsidR="00864CFC" w:rsidRDefault="00864CFC">
      <w:pPr>
        <w:spacing w:after="0" w:line="240" w:lineRule="auto"/>
      </w:pPr>
      <w:r>
        <w:separator/>
      </w:r>
    </w:p>
  </w:footnote>
  <w:footnote w:type="continuationSeparator" w:id="0">
    <w:p w14:paraId="129A6A1D" w14:textId="77777777" w:rsidR="00864CFC" w:rsidRDefault="0086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D38" w14:textId="59BD7C1E" w:rsidR="00984CA4" w:rsidRDefault="00984CA4">
    <w:pPr>
      <w:pStyle w:val="Cabealho"/>
    </w:pPr>
    <w:r w:rsidRPr="00E22757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554F779E" wp14:editId="21C1D124">
          <wp:simplePos x="0" y="0"/>
          <wp:positionH relativeFrom="page">
            <wp:posOffset>-2540</wp:posOffset>
          </wp:positionH>
          <wp:positionV relativeFrom="paragraph">
            <wp:posOffset>-457200</wp:posOffset>
          </wp:positionV>
          <wp:extent cx="7778750" cy="1066800"/>
          <wp:effectExtent l="0" t="0" r="0" b="0"/>
          <wp:wrapNone/>
          <wp:docPr id="1010433947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75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2284079">
    <w:abstractNumId w:val="8"/>
  </w:num>
  <w:num w:numId="2" w16cid:durableId="615645245">
    <w:abstractNumId w:val="6"/>
  </w:num>
  <w:num w:numId="3" w16cid:durableId="1821145845">
    <w:abstractNumId w:val="5"/>
  </w:num>
  <w:num w:numId="4" w16cid:durableId="181556783">
    <w:abstractNumId w:val="4"/>
  </w:num>
  <w:num w:numId="5" w16cid:durableId="1674600050">
    <w:abstractNumId w:val="7"/>
  </w:num>
  <w:num w:numId="6" w16cid:durableId="634599356">
    <w:abstractNumId w:val="3"/>
  </w:num>
  <w:num w:numId="7" w16cid:durableId="981038021">
    <w:abstractNumId w:val="2"/>
  </w:num>
  <w:num w:numId="8" w16cid:durableId="1425998659">
    <w:abstractNumId w:val="1"/>
  </w:num>
  <w:num w:numId="9" w16cid:durableId="1451821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1769"/>
    <w:rsid w:val="00034616"/>
    <w:rsid w:val="0006063C"/>
    <w:rsid w:val="0015074B"/>
    <w:rsid w:val="00184D85"/>
    <w:rsid w:val="001B4A45"/>
    <w:rsid w:val="0029639D"/>
    <w:rsid w:val="00326F90"/>
    <w:rsid w:val="0033082F"/>
    <w:rsid w:val="004014CC"/>
    <w:rsid w:val="00476874"/>
    <w:rsid w:val="004B1936"/>
    <w:rsid w:val="006037EC"/>
    <w:rsid w:val="006068FF"/>
    <w:rsid w:val="006236C5"/>
    <w:rsid w:val="006603F2"/>
    <w:rsid w:val="007D4C56"/>
    <w:rsid w:val="00864CFC"/>
    <w:rsid w:val="00984CA4"/>
    <w:rsid w:val="00AA1D8D"/>
    <w:rsid w:val="00B47730"/>
    <w:rsid w:val="00BE56D1"/>
    <w:rsid w:val="00CB0664"/>
    <w:rsid w:val="00CD07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8EF62"/>
  <w14:defaultImageDpi w14:val="300"/>
  <w15:docId w15:val="{19852798-3657-4091-839D-2C03D22D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Calibri" w:hAnsi="Calibri"/>
      <w:color w:val="00000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2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228FC6-8ACB-4DFB-BFBB-489454E41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2055</Words>
  <Characters>11101</Characters>
  <Application>Microsoft Office Word</Application>
  <DocSecurity>0</DocSecurity>
  <Lines>92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Wesley Mesquita da Silva</cp:lastModifiedBy>
  <cp:revision>5</cp:revision>
  <dcterms:created xsi:type="dcterms:W3CDTF">2026-10-25T21:59:00Z</dcterms:created>
  <dcterms:modified xsi:type="dcterms:W3CDTF">2026-10-26T20:26:00Z</dcterms:modified>
  <cp:category/>
</cp:coreProperties>
</file>